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footer1.xml" ContentType="application/vnd.openxmlformats-officedocument.wordprocessingml.footer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3F14B92C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200" w:type="dxa"/>
              <w:bottom w:w="80" w:type="dxa"/>
              <w:right w:w="200" w:type="dxa"/>
            </w:tcMar>
            <w:vAlign w:val="center"/>
          </w:tcPr>
          <w:p ns2:paraId="75BBC22A" ns2:textId="77777777" w:rsidR="001505C1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RICHTLINIE ZUR BEHANDLUNG VON SICHERHEITSVORFÄLLEN (CSIRP)</w:t>
            </w:r>
            <w:r>
              <w:rPr>
                <w:color w:val="CBD5E1"/>
              </w:rPr>
              <w:t xml:space="preserve">  ·  §32 BSIG / Art. 21 NIS2 / BSI DER.1 / ISO 27001 A.5.24-A.5.28</w:t>
            </w:r>
          </w:p>
        </w:tc>
      </w:tr>
      <w:tr w:rsidR="001505C1" ns2:paraId="2EDCBE53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ns2:paraId="1910A6D3" ns2:textId="77777777" w:rsidR="001505C1" w:rsidRDefault="00000000">
            <w:pPr>
              <w:spacing w:after="60"/>
              <w:jc w:val="center"/>
            </w:pPr>
            <w:r>
              <w:rPr>
                <w:color w:val="CBD5E1"/>
                <w:sz w:val="15"/>
                <w:szCs w:val="15"/>
              </w:rPr>
              <w:t>Dok-ID: IRP-01-CSIRP  ·  Version: 2.0  ·  Status: Aktiv / BSI-Audit-ready  ·  Klassifizierung: Intern / Vertraulich  ·  Gültig ab: 29.03.2026  ·  Review: 2027</w:t>
            </w:r>
          </w:p>
        </w:tc>
      </w:tr>
    </w:tbl>
    <w:p ns2:paraId="34A6879E" ns2:textId="15AFB5F9" w:rsidR="008C66C0" w:rsidRDefault="008C66C0" w:rsidP="008C66C0">
      <w:pPr>
        <w:spacing w:after="60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012"/>
        <w:gridCol w:w="6626"/>
      </w:tblGrid>
      <w:tr w:rsidR="008C66C0" ns2:paraId="55EB65F5" ns2:textId="77777777" w:rsidTr="008C66C0">
        <w:trPr>
          <w:gridAfter w:val="1"/>
          <w:wAfter w:w="6626" w:type="dxa"/>
        </w:trPr>
        <w:tc>
          <w:tcPr>
            <w:tcW w:w="30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9BE55B9" ns2:textId="77777777" w:rsidR="008C66C0" w:rsidRDefault="008C66C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0  ·</w:t>
            </w:r>
            <w:proofErr w:type="gramEnd"/>
            <w:r>
              <w:rPr>
                <w:b/>
                <w:bCs/>
                <w:color w:val="FFFFFF"/>
              </w:rPr>
              <w:t xml:space="preserve">  DOKUMENTENLENKUNG</w:t>
            </w:r>
          </w:p>
        </w:tc>
      </w:tr>
      <w:tr w:rsidR="001505C1" ns2:paraId="4048F9B7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B35A58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9DC2D9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IRP-01-CSIRP</w:t>
            </w:r>
          </w:p>
        </w:tc>
      </w:tr>
      <w:tr w:rsidR="001505C1" ns2:paraId="551A0061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A0B720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Version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9E11B5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2.0</w:t>
            </w:r>
          </w:p>
        </w:tc>
      </w:tr>
      <w:tr w:rsidR="001505C1" ns2:paraId="4B16F528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8D68D8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Status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FC1DFC" ns2:textId="77777777" w:rsidR="001505C1" w:rsidRDefault="00000000">
            <w:pPr>
              <w:spacing w:after="40"/>
            </w:pPr>
            <w:r>
              <w:rPr>
                <w:b/>
                <w:bCs/>
                <w:color w:val="854D0E"/>
                <w:sz w:val="16"/>
                <w:szCs w:val="16"/>
              </w:rPr>
              <w:t>Aktiv / BSI-Audit-ready</w:t>
            </w:r>
          </w:p>
        </w:tc>
      </w:tr>
      <w:tr w:rsidR="001505C1" ns2:paraId="345D7E51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C7EA9A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Erstellt von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800570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ISB [Name / Rolle]</w:t>
            </w:r>
          </w:p>
        </w:tc>
      </w:tr>
      <w:tr w:rsidR="001505C1" ns2:paraId="33BA7C54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C3C12C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Erstellt am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D65CFF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29.03.2026</w:t>
            </w:r>
          </w:p>
        </w:tc>
      </w:tr>
      <w:tr w:rsidR="001505C1" ns2:paraId="12775604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407D42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Geprüft von (ISB)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11FF2F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[Name / Datum]</w:t>
            </w:r>
          </w:p>
        </w:tc>
      </w:tr>
      <w:tr w:rsidR="001505C1" ns2:paraId="7E070C20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2B83D1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Freigegeben (GF)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6C8A6C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[Name / Datum / Stempel]</w:t>
            </w:r>
          </w:p>
        </w:tc>
      </w:tr>
      <w:tr w:rsidR="001505C1" ns2:paraId="7886672C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691EFC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D69106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Intern / Vertraulich</w:t>
            </w:r>
          </w:p>
        </w:tc>
      </w:tr>
      <w:tr w:rsidR="001505C1" ns2:paraId="4BD7D4E2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730F493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Gültig ab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239355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29.03.2026</w:t>
            </w:r>
          </w:p>
        </w:tc>
      </w:tr>
      <w:tr w:rsidR="001505C1" ns2:paraId="48CE31B0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0EB400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91C2BEE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12 Monate oder nach jedem P1 / P2-Vorfall</w:t>
            </w:r>
          </w:p>
        </w:tc>
      </w:tr>
      <w:tr w:rsidR="001505C1" ns2:paraId="69C1A4EC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54F9E4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Verknüpfte Dokumente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036836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FRM-01-BSI-FRUEH | FRM-02-INCIDENT | FRM-03-LESSONS</w:t>
            </w:r>
          </w:p>
        </w:tc>
      </w:tr>
      <w:tr w:rsidR="001505C1" ns2:paraId="0F9A6B55" ns2:textId="77777777" w:rsidTr="008C66C0">
        <w:tc>
          <w:tcPr>
            <w:tcW w:w="3012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E0F29C" ns2:textId="77777777" w:rsidR="001505C1" w:rsidRDefault="00000000">
            <w:pPr>
              <w:spacing w:after="40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</w:t>
            </w:r>
          </w:p>
        </w:tc>
        <w:tc>
          <w:tcPr>
            <w:tcW w:w="662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C834B3" ns2:textId="77777777" w:rsidR="001505C1" w:rsidRDefault="00000000">
            <w:pPr>
              <w:spacing w:after="40"/>
            </w:pPr>
            <w:r>
              <w:rPr>
                <w:sz w:val="16"/>
                <w:szCs w:val="16"/>
              </w:rPr>
              <w:t>v2.0 – Audit-Ready Incident-Richtlinie mit NIS2-Meldeprozess</w:t>
            </w:r>
          </w:p>
        </w:tc>
      </w:tr>
    </w:tbl>
    <w:p ns2:paraId="3214471D" ns2:textId="77777777" w:rsidR="001505C1" w:rsidRDefault="001505C1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1359809F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ns2:paraId="4EF8F5F5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ZWECK</w:t>
            </w:r>
          </w:p>
          <w:p ns2:paraId="40008A5A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Verbindlicher Prozess:</w:t>
            </w:r>
            <w:r>
              <w:rPr>
                <w:color w:val="1E3A8A"/>
                <w:sz w:val="16"/>
                <w:szCs w:val="16"/>
              </w:rPr>
              <w:t xml:space="preserve"> Erkennung, Klassifizierung und Bewältigung von Sicherheitsvorfällen.</w:t>
            </w:r>
          </w:p>
          <w:p ns2:paraId="6FC86A12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NIS2-Meldepflicht:</w:t>
            </w:r>
            <w:r>
              <w:rPr>
                <w:color w:val="1E3A8A"/>
                <w:sz w:val="16"/>
                <w:szCs w:val="16"/>
              </w:rPr>
              <w:t xml:space="preserve"> 24h Frühwarnung und 72h vollständige Meldung an das BSI.</w:t>
            </w:r>
          </w:p>
          <w:p ns2:paraId="769A2A66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Ohne Richtlinie:</w:t>
            </w:r>
            <w:r>
              <w:rPr>
                <w:color w:val="1E3A8A"/>
                <w:sz w:val="16"/>
                <w:szCs w:val="16"/>
              </w:rPr>
              <w:t xml:space="preserve"> Bußgelder, Governance-Lücke und persönliche Haftungsrisiken der Geschäftsführung.</w:t>
            </w:r>
          </w:p>
        </w:tc>
      </w:tr>
    </w:tbl>
    <w:p ns2:paraId="6BA80716" ns2:textId="77777777" w:rsidR="001505C1" w:rsidRDefault="001505C1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251070FD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824C118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1  ·  ZWECK &amp; NIS2-ZIELSETZUNG</w:t>
            </w:r>
          </w:p>
        </w:tc>
      </w:tr>
    </w:tbl>
    <w:p ns2:paraId="02CB6764" ns2:textId="77777777" w:rsidR="001505C1" w:rsidRDefault="00000000">
      <w:pPr>
        <w:spacing w:after="80"/>
      </w:pPr>
      <w:r>
        <w:t>Diese Richtlinie definiert den verbindlichen Prozess zur Erkennung, Klassifizierung und Bewältigung von Sicherheitsvorfällen sowie zur Einhaltung der NIS2-Meldepflichten und zur Nachweisbarkeit gegenüber der BSI-Aufsicht.</w:t>
      </w:r>
    </w:p>
    <w:p ns2:paraId="504A13C3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Erkennung, Klassifizierung und Bewältigung von Sicherheitsvorfällen</w:t>
      </w:r>
    </w:p>
    <w:p ns2:paraId="44E4EEAB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Einhaltung der NIS2-Meldepflichten (24h / 72h BSI)</w:t>
      </w:r>
    </w:p>
    <w:p ns2:paraId="1DA4E3E6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Minimierung von Schäden und belastbare Dokumentation</w:t>
      </w:r>
    </w:p>
    <w:p ns2:paraId="59C7B6DC" ns2:textId="77777777" w:rsidR="001505C1" w:rsidRDefault="00000000">
      <w:pPr>
        <w:spacing w:after="100"/>
      </w:pPr>
      <w:r>
        <w:rPr>
          <w:b/>
          <w:bCs/>
          <w:color w:val="991B1B"/>
          <w:sz w:val="16"/>
          <w:szCs w:val="16"/>
        </w:rPr>
        <w:t>Ohne diese Richtlinie: Bußgelder bis 10 Mio. € (§61 NIS2UmsuCG) und persönliche GF-Haftung (§38 BSIG).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02A1AAC3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DBEFAA0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2  ·  NORMATIVE GRUNDLAGEN</w:t>
            </w:r>
          </w:p>
        </w:tc>
      </w:tr>
    </w:tbl>
    <w:p ns2:paraId="0F20BE21" ns2:textId="77777777" w:rsidR="001505C1" w:rsidRDefault="00000000">
      <w:pPr>
        <w:spacing w:after="60"/>
      </w:pPr>
      <w:r>
        <w:rPr>
          <w:b/>
          <w:bCs/>
          <w:color w:val="1E3A8A"/>
          <w:sz w:val="16"/>
          <w:szCs w:val="16"/>
        </w:rPr>
        <w:t>Gesetzlich (§32 / §38 BSIG, NIS2UmsuCG)</w:t>
      </w:r>
    </w:p>
    <w:p ns2:paraId="762AAFCF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24h Frühwarnung an das BSI bei erheblichen Vorfällen (§32 Abs.1 Nr.1)</w:t>
      </w:r>
    </w:p>
    <w:p ns2:paraId="5EA79567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72h vollständige Meldung inklusive Schweregrad und Auswirkungen (§32 Abs.1 Nr.2)</w:t>
      </w:r>
    </w:p>
    <w:p ns2:paraId="5E1B7E56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GF-Verantwortung für Risikomanagement und Aufsicht (§38 BSIG)</w:t>
      </w:r>
    </w:p>
    <w:p ns2:paraId="5FCA94FD" ns2:textId="77777777" w:rsidR="001505C1" w:rsidRDefault="00000000">
      <w:pPr>
        <w:spacing w:after="60"/>
      </w:pPr>
      <w:r>
        <w:rPr>
          <w:b/>
          <w:bCs/>
          <w:color w:val="1E3A8A"/>
          <w:sz w:val="16"/>
          <w:szCs w:val="16"/>
        </w:rPr>
        <w:t>Standards</w:t>
      </w:r>
    </w:p>
    <w:p ns2:paraId="79C28F63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ISO 27001:2022 A.5.24-A.5.28 (Incident Management)</w:t>
      </w:r>
    </w:p>
    <w:p ns2:paraId="3803D53B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BSI IT-Grundschutz DER.1 (Detektion und Reaktion)</w:t>
      </w:r>
    </w:p>
    <w:p ns2:paraId="0618137A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NIST SP 800-61 (Incident Handling Guide)</w:t>
      </w:r>
    </w:p>
    <w:p ns2:paraId="64AFD708" ns2:textId="77777777" w:rsidR="001505C1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Referenzlinks:</w:t>
      </w:r>
    </w:p>
    <w:p ns2:paraId="48D93216" ns2:textId="77777777" w:rsidR="001505C1" w:rsidRDefault="00000000">
      <w:pPr>
        <w:spacing w:after="40"/>
      </w:pPr>
      <w:r>
        <w:t xml:space="preserve">• BSI DER.1 / Detektion und Reaktion: </w:t>
      </w:r>
      <w:hyperlink>
        <w:r w:rsidR="001505C1">
          <w:rPr>
            <w:color w:val="0563C1"/>
            <w:u w:val="single"/>
          </w:rPr>
          <w:t>https://www.bsi.bund.de/DE/Themen/Unternehmen-und-Organisationen/Cyber-Sicherheit/Empfehlungen/Detektion-und-Reaktion/detektion-und-reaktion_node.html</w:t>
        </w:r>
      </w:hyperlink>
    </w:p>
    <w:p ns2:paraId="4F634A36" ns2:textId="77777777" w:rsidR="001505C1" w:rsidRDefault="00000000">
      <w:pPr>
        <w:spacing w:after="40"/>
      </w:pPr>
      <w:r>
        <w:t xml:space="preserve">• NIS2 Richtlinie (EUR-Lex): </w:t>
      </w:r>
      <w:hyperlink>
        <w:r w:rsidR="001505C1">
          <w:rPr>
            <w:color w:val="0563C1"/>
            <w:u w:val="single"/>
          </w:rPr>
          <w:t>https://eur-lex.europa.eu/legal-content/DE/TXT/?uri=CELEX:32022L2555</w:t>
        </w:r>
      </w:hyperlink>
    </w:p>
    <w:p ns2:paraId="2F22D9C0" ns2:textId="77777777" w:rsidR="001505C1" w:rsidRDefault="00000000">
      <w:pPr>
        <w:spacing w:after="40"/>
      </w:pPr>
      <w:r>
        <w:t xml:space="preserve">• NIST SP 800-61: </w:t>
      </w:r>
      <w:hyperlink r:id="rId7">
        <w:r w:rsidR="001505C1">
          <w:rPr>
            <w:color w:val="0563C1"/>
            <w:u w:val="single"/>
          </w:rPr>
          <w:t>https://csrc.nist.gov/pubs/sp/800/61/r2/final</w:t>
        </w:r>
      </w:hyperlink>
    </w:p>
    <w:p ns2:paraId="6708764F" ns2:textId="77777777" w:rsidR="001505C1" w:rsidRDefault="001505C1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518815EB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AAFB38D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lastRenderedPageBreak/>
              <w:t>3  ·  VORFALLDEFINITION &amp; SCOPE</w:t>
            </w:r>
          </w:p>
        </w:tc>
      </w:tr>
    </w:tbl>
    <w:p ns2:paraId="6CBDAF36" ns2:textId="77777777" w:rsidR="001505C1" w:rsidRDefault="00000000">
      <w:pPr>
        <w:spacing w:after="60"/>
      </w:pPr>
      <w:r>
        <w:rPr>
          <w:b/>
          <w:bCs/>
        </w:rPr>
        <w:t>Sicherheitsvorfall = Ereignis, das Vertraulichkeit, Integrität oder Verfügbarkeit gefährdet.</w:t>
      </w:r>
    </w:p>
    <w:p ns2:paraId="43F79876" ns2:textId="77777777" w:rsidR="001505C1" w:rsidRDefault="00000000">
      <w:pPr>
        <w:spacing w:after="40"/>
      </w:pPr>
      <w:r>
        <w:rPr>
          <w:b/>
          <w:bCs/>
          <w:color w:val="1E3A8A"/>
          <w:sz w:val="16"/>
          <w:szCs w:val="16"/>
        </w:rPr>
        <w:t>Erheblicher Vorfall (NIS2-meldepflichtig)</w:t>
      </w:r>
    </w:p>
    <w:p ns2:paraId="0CA0CBA6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Schwere Störung kritischer Dienste</w:t>
      </w:r>
    </w:p>
    <w:p ns2:paraId="0FB15E8C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Finanzielle Schäden (&gt; [X] €)</w:t>
      </w:r>
    </w:p>
    <w:p ns2:paraId="2284E007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Datenabfluss kritischer IP oder personenbezogener Daten</w:t>
      </w:r>
    </w:p>
    <w:p ns2:paraId="5E9324BD" ns2:textId="77777777" w:rsidR="001505C1" w:rsidRDefault="00000000">
      <w:pPr>
        <w:spacing w:after="40"/>
        <w:ind w:left="240" w:hanging="120"/>
      </w:pPr>
      <w:r>
        <w:rPr>
          <w:b/>
          <w:bCs/>
        </w:rPr>
        <w:t xml:space="preserve">• </w:t>
      </w:r>
      <w:r>
        <w:t>Beispiele: Ransomware, Admin-Phishing, DoS &gt;4h, verlorene Endgeräte ohne Verschlüsselung</w:t>
      </w:r>
    </w:p>
    <w:p ns2:paraId="4DF54957" ns2:textId="77777777" w:rsidR="001505C1" w:rsidRDefault="00000000">
      <w:pPr>
        <w:spacing w:after="100"/>
      </w:pPr>
      <w:r>
        <w:rPr>
          <w:i/>
          <w:iCs/>
          <w:color w:val="64748B"/>
          <w:sz w:val="16"/>
          <w:szCs w:val="16"/>
        </w:rPr>
        <w:t>Ausnahmen: Reine IT-Störungen ohne Sicherheitsrelevanz, z. B. isolierter Hardware-Defekt.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0FF7807A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60B70E9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4  ·  KLASSIFIZIERUNG &amp; ESKALATION</w:t>
            </w:r>
          </w:p>
        </w:tc>
      </w:tr>
    </w:tbl>
    <w:p ns2:paraId="25087607" ns2:textId="77777777" w:rsidR="001505C1" w:rsidRDefault="001505C1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200"/>
        <w:gridCol w:w="1400"/>
        <w:gridCol w:w="2100"/>
        <w:gridCol w:w="1100"/>
        <w:gridCol w:w="1700"/>
        <w:gridCol w:w="1571"/>
      </w:tblGrid>
      <w:tr w:rsidR="001505C1" ns2:paraId="001F4611" ns2:textId="77777777"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A4BCBD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Priorität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E98277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Auswirkung</w:t>
            </w:r>
          </w:p>
        </w:tc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3EE6F9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Kriterien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2FACD5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Reaktions-SLA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064112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Eskalation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FB1347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NIS2-Meldung</w:t>
            </w:r>
          </w:p>
        </w:tc>
      </w:tr>
      <w:tr w:rsidR="001505C1" ns2:paraId="27375AEB" ns2:textId="77777777"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CFA14A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P1 Kritisch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6B66AF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Gesamtbetrieb</w:t>
            </w:r>
          </w:p>
        </w:tc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54EFE6C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Kernsysteme down, Datenabfluss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834D93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15 min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43E029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GF / Krisenstab sofort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FB63FA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24h BSI</w:t>
            </w:r>
          </w:p>
        </w:tc>
      </w:tr>
      <w:tr w:rsidR="001505C1" ns2:paraId="60D2CE81" ns2:textId="77777777"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A7AED5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P2 Hoch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EAE377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Abteilung</w:t>
            </w:r>
          </w:p>
        </w:tc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252E04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NIS2-relevant, DoS, Malware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63048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1h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B0936C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IT-Leitung / ISB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143F7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Eval 24h</w:t>
            </w:r>
          </w:p>
        </w:tc>
      </w:tr>
      <w:tr w:rsidR="001505C1" ns2:paraId="3A8DB595" ns2:textId="77777777"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491FC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P3 Mittel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53F06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Einzelne Dienste</w:t>
            </w:r>
          </w:p>
        </w:tc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3974BC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Phishing, schwache Vuln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400C5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2545DC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IT-Admin</w:t>
            </w:r>
          </w:p>
        </w:tc>
        <w:tc>
          <w:tcPr>
            <w:tcW w:w="1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F5D8DE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Nein</w:t>
            </w:r>
          </w:p>
        </w:tc>
      </w:tr>
    </w:tbl>
    <w:p ns2:paraId="697BF569" ns2:textId="77777777" w:rsidR="001505C1" w:rsidRDefault="001505C1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563FD83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382A6A5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5  ·  OPERATIVER PHASENPLAN</w:t>
            </w:r>
          </w:p>
        </w:tc>
      </w:tr>
      <w:tr w:rsidR="001505C1" ns2:paraId="220A8102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ns2:paraId="6A5597E1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Phase 1: Detection &amp; Triage</w:t>
            </w:r>
            <w:r>
              <w:rPr>
                <w:i/>
                <w:iCs/>
                <w:color w:val="64748B"/>
                <w:sz w:val="16"/>
                <w:szCs w:val="16"/>
              </w:rPr>
              <w:t xml:space="preserve">  (T0 bis T+4h)</w:t>
            </w:r>
          </w:p>
          <w:p ns2:paraId="70B088E6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Systeme identifizieren und Erst-Klassifizierung nach Tabelle 4 durchführen</w:t>
            </w:r>
          </w:p>
          <w:p ns2:paraId="3F80CA8D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Incident-Ticket in SIEM / OTRS / Jira anlegen</w:t>
            </w:r>
          </w:p>
          <w:p ns2:paraId="4AE76BBF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Dokumentation im Incident-Logbuch starten</w:t>
            </w:r>
          </w:p>
          <w:p ns2:paraId="2B1D6723" ns2:textId="77777777" w:rsidR="001505C1" w:rsidRDefault="00000000">
            <w:pPr>
              <w:spacing w:after="40"/>
            </w:pPr>
            <w:r>
              <w:rPr>
                <w:b/>
                <w:bCs/>
                <w:color w:val="1E3A8A"/>
                <w:sz w:val="16"/>
                <w:szCs w:val="16"/>
              </w:rPr>
              <w:t>RACI: IT-Betrieb (R), ISB (A)</w:t>
            </w:r>
          </w:p>
        </w:tc>
      </w:tr>
    </w:tbl>
    <w:p ns2:paraId="0803F4A9" ns2:textId="77777777" w:rsidR="001505C1" w:rsidRDefault="001505C1">
      <w:pPr>
        <w:spacing w:after="5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7050D2BE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ns2:paraId="1ACD9D16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Phase 2: Frühmeldung – NIS2-Pflicht</w:t>
            </w:r>
            <w:r>
              <w:rPr>
                <w:i/>
                <w:iCs/>
                <w:color w:val="64748B"/>
                <w:sz w:val="16"/>
                <w:szCs w:val="16"/>
              </w:rPr>
              <w:t xml:space="preserve">  (≤24h)</w:t>
            </w:r>
          </w:p>
          <w:p ns2:paraId="5D10167A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Bei P1 / P2 unverzüglich 24h-Frühwarnung an das BSI erstellen</w:t>
            </w:r>
          </w:p>
          <w:p ns2:paraId="4D3B3D15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Vorfallskategorie, Zeitpunkt und Verdacht auf böswilligen oder grenzüberschreitenden Kontext angeben</w:t>
            </w:r>
          </w:p>
          <w:p ns2:paraId="74A324A5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BSI-Frühmeldeformular aus Anhang A verwenden</w:t>
            </w:r>
          </w:p>
          <w:p ns2:paraId="31C1BBDD" ns2:textId="77777777" w:rsidR="001505C1" w:rsidRDefault="00000000">
            <w:pPr>
              <w:spacing w:after="40"/>
            </w:pPr>
            <w:r>
              <w:rPr>
                <w:b/>
                <w:bCs/>
                <w:color w:val="1E3A8A"/>
                <w:sz w:val="16"/>
                <w:szCs w:val="16"/>
              </w:rPr>
              <w:t>RACI: ISB (R/A), Compliance (C), GF (A)</w:t>
            </w:r>
          </w:p>
        </w:tc>
      </w:tr>
    </w:tbl>
    <w:p ns2:paraId="67B1AB79" ns2:textId="77777777" w:rsidR="001505C1" w:rsidRDefault="001505C1">
      <w:pPr>
        <w:spacing w:after="5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773E47F2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ns2:paraId="260C22BE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Phase 3: Containment &amp; Analysis</w:t>
            </w:r>
            <w:r>
              <w:rPr>
                <w:i/>
                <w:iCs/>
                <w:color w:val="64748B"/>
                <w:sz w:val="16"/>
                <w:szCs w:val="16"/>
              </w:rPr>
              <w:t xml:space="preserve">  (≤72h)</w:t>
            </w:r>
          </w:p>
          <w:p ns2:paraId="3A9D8813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Betroffene Systeme isolieren und Segmentierung umsetzen</w:t>
            </w:r>
          </w:p>
          <w:p ns2:paraId="487A0B75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72h-vollständige BSI-Meldung mit Schweregrad, Auswirkungen und IoCs vorbereiten</w:t>
            </w:r>
          </w:p>
          <w:p ns2:paraId="0D165715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Bei P1 externe Forensik einbinden</w:t>
            </w:r>
          </w:p>
          <w:p ns2:paraId="2D17705C" ns2:textId="77777777" w:rsidR="001505C1" w:rsidRDefault="00000000">
            <w:pPr>
              <w:spacing w:after="40"/>
            </w:pPr>
            <w:r>
              <w:rPr>
                <w:b/>
                <w:bCs/>
                <w:color w:val="1E3A8A"/>
                <w:sz w:val="16"/>
                <w:szCs w:val="16"/>
              </w:rPr>
              <w:t>RACI: IT-Security (R), Forensik-Partner (C)</w:t>
            </w:r>
          </w:p>
        </w:tc>
      </w:tr>
    </w:tbl>
    <w:p ns2:paraId="2B5AF68B" ns2:textId="77777777" w:rsidR="001505C1" w:rsidRDefault="001505C1">
      <w:pPr>
        <w:spacing w:after="5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3C65F27F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ns2:paraId="5BB0EE10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Phase 4: Eradication &amp; Recovery</w:t>
            </w:r>
            <w:r>
              <w:rPr>
                <w:i/>
                <w:iCs/>
                <w:color w:val="64748B"/>
                <w:sz w:val="16"/>
                <w:szCs w:val="16"/>
              </w:rPr>
              <w:t xml:space="preserve">  (Wiederanlauf)</w:t>
            </w:r>
          </w:p>
          <w:p ns2:paraId="2DA9C52A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Schadcode entfernen und Backups gemäß 3-2-1-Regel wiederherstellen</w:t>
            </w:r>
          </w:p>
          <w:p ns2:paraId="64FD9E91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Post-Exploitation-Scan auf Persistenz durchführen</w:t>
            </w:r>
          </w:p>
          <w:p ns2:paraId="70B9175C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Systeme schrittweise unter Beachtung der RTO wieder in Betrieb nehmen</w:t>
            </w:r>
          </w:p>
          <w:p ns2:paraId="07C219D7" ns2:textId="77777777" w:rsidR="001505C1" w:rsidRDefault="00000000">
            <w:pPr>
              <w:spacing w:after="40"/>
            </w:pPr>
            <w:r>
              <w:rPr>
                <w:b/>
                <w:bCs/>
                <w:color w:val="1E3A8A"/>
                <w:sz w:val="16"/>
                <w:szCs w:val="16"/>
              </w:rPr>
              <w:t>RACI: IT-Betrieb (R), BCP-Team (C)</w:t>
            </w:r>
          </w:p>
        </w:tc>
      </w:tr>
    </w:tbl>
    <w:p ns2:paraId="2E14BE1E" ns2:textId="77777777" w:rsidR="001505C1" w:rsidRDefault="001505C1">
      <w:pPr>
        <w:spacing w:after="5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50793716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ns2:paraId="6CCE3F6A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Phase 5: Post-Incident Review</w:t>
            </w:r>
            <w:r>
              <w:rPr>
                <w:i/>
                <w:iCs/>
                <w:color w:val="64748B"/>
                <w:sz w:val="16"/>
                <w:szCs w:val="16"/>
              </w:rPr>
              <w:t xml:space="preserve">  (≤30 Tage)</w:t>
            </w:r>
          </w:p>
          <w:p ns2:paraId="3F63C064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Root-Cause-Analyse mit 5 Whys oder Fishbone durchführen</w:t>
            </w:r>
          </w:p>
          <w:p ns2:paraId="70D891F8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Lessons Learned dokumentieren und Maßnahmen in das Risikoregister überführen</w:t>
            </w:r>
          </w:p>
          <w:p ns2:paraId="3F64C889" ns2:textId="77777777" w:rsidR="001505C1" w:rsidRDefault="00000000">
            <w:pPr>
              <w:spacing w:after="40"/>
              <w:ind w:left="240" w:hanging="120"/>
            </w:pPr>
            <w:r>
              <w:rPr>
                <w:b/>
                <w:bCs/>
              </w:rPr>
              <w:t xml:space="preserve">• </w:t>
            </w:r>
            <w:r>
              <w:t>Finalen BSI-Bericht innerhalb eines Monats oder auf Anfrage erstellen</w:t>
            </w:r>
          </w:p>
          <w:p ns2:paraId="186E09C3" ns2:textId="77777777" w:rsidR="001505C1" w:rsidRDefault="00000000">
            <w:pPr>
              <w:spacing w:after="40"/>
            </w:pPr>
            <w:r>
              <w:rPr>
                <w:b/>
                <w:bCs/>
                <w:color w:val="1E3A8A"/>
                <w:sz w:val="16"/>
                <w:szCs w:val="16"/>
              </w:rPr>
              <w:t>RACI: ISB (R/A), GF (A)</w:t>
            </w:r>
          </w:p>
        </w:tc>
      </w:tr>
    </w:tbl>
    <w:p ns2:paraId="55431823" ns2:textId="77777777" w:rsidR="001505C1" w:rsidRDefault="001505C1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06C999CD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A01EC0E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lastRenderedPageBreak/>
              <w:t>6  ·  KOMMUNIKATIONSMATRIX</w:t>
            </w:r>
          </w:p>
        </w:tc>
      </w:tr>
    </w:tbl>
    <w:p ns2:paraId="7F1DF03C" ns2:textId="77777777" w:rsidR="001505C1" w:rsidRDefault="001505C1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200"/>
        <w:gridCol w:w="2200"/>
        <w:gridCol w:w="1700"/>
        <w:gridCol w:w="2971"/>
      </w:tblGrid>
      <w:tr w:rsidR="001505C1" ns2:paraId="5F375209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9638CA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Stakeholder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0D7520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Kanal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531B01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Timing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3FA8B1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Verantwortlich</w:t>
            </w:r>
          </w:p>
        </w:tc>
      </w:tr>
      <w:tr w:rsidR="001505C1" ns2:paraId="2746E32F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5304E7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BSI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EFF665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BSI-Portal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CC70C9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24h / 72h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0F9EAB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</w:tr>
      <w:tr w:rsidR="001505C1" ns2:paraId="1ED61099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864C7A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GF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30CC52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Telefon / Teams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1B442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P1: sofort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114D79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IT-Leitung</w:t>
            </w:r>
          </w:p>
        </w:tc>
      </w:tr>
      <w:tr w:rsidR="001505C1" ns2:paraId="24133C07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4777CE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Kunden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CBD27B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Nur GF-freigegeben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569ED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Nach Phase 4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175B38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Compliance</w:t>
            </w:r>
          </w:p>
        </w:tc>
      </w:tr>
      <w:tr w:rsidR="001505C1" ns2:paraId="116113F2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F2935D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Mitarbeitende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0C20D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Intranet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53B715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Nach Abschluss</w:t>
            </w:r>
          </w:p>
        </w:tc>
        <w:tc>
          <w:tcPr>
            <w:tcW w:w="29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A39392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Kommunikation</w:t>
            </w:r>
          </w:p>
        </w:tc>
      </w:tr>
    </w:tbl>
    <w:p ns2:paraId="5446DE77" ns2:textId="77777777" w:rsidR="001505C1" w:rsidRDefault="00000000">
      <w:pPr>
        <w:spacing w:after="100"/>
      </w:pPr>
      <w:r>
        <w:rPr>
          <w:b/>
          <w:bCs/>
          <w:color w:val="991B1B"/>
          <w:sz w:val="16"/>
          <w:szCs w:val="16"/>
        </w:rPr>
        <w:t>Externe Kommunikation: Keine privaten Messenger. Ausschließlich Teams oder Secure-Mail verwenden.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228B6748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DD153DF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7  ·  RACI-MATRIX</w:t>
            </w:r>
          </w:p>
        </w:tc>
      </w:tr>
    </w:tbl>
    <w:p ns2:paraId="590603C1" ns2:textId="77777777" w:rsidR="001505C1" w:rsidRDefault="001505C1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100"/>
        <w:gridCol w:w="1200"/>
        <w:gridCol w:w="1100"/>
        <w:gridCol w:w="1400"/>
        <w:gridCol w:w="1000"/>
        <w:gridCol w:w="2271"/>
      </w:tblGrid>
      <w:tr w:rsidR="001505C1" ns2:paraId="6160C6DB" ns2:textId="77777777"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6CAF1B5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Phase / Aufgabe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A78A7D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IT-Betrieb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78C02B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70F489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Compliance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61E71D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EC17FB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Datenschutz</w:t>
            </w:r>
          </w:p>
        </w:tc>
      </w:tr>
      <w:tr w:rsidR="001505C1" ns2:paraId="00919C5C" ns2:textId="77777777"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B9B51F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Detektion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663FE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AD578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02D59F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C9DB8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F693D2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1505C1" ns2:paraId="1622E11A" ns2:textId="77777777"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D282A52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Klassifizierung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EC6EC5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625ED8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DD7829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5781C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19A02D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</w:tr>
      <w:tr w:rsidR="001505C1" ns2:paraId="3C268962" ns2:textId="77777777"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225492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BSI-Meldung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1352BB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59CD23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1FA58F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1F43BB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761C3F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1505C1" ns2:paraId="5446D2B8" ns2:textId="77777777"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714F0B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Forensik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F215AF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36DFB8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318D8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0E6AC7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2310C2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1505C1" ns2:paraId="64AC7700" ns2:textId="77777777"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0EBA6E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Recovery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12E2C8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92DDD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542F27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A1ED04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0EAA6B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1505C1" ns2:paraId="5B360B85" ns2:textId="77777777">
        <w:tc>
          <w:tcPr>
            <w:tcW w:w="2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5E3AAE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Lessons Learned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FE037A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D7FFC4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7BCEA1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B2DAD0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816616" ns2:textId="77777777" w:rsidR="001505C1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</w:tr>
    </w:tbl>
    <w:p ns2:paraId="4364C9A1" ns2:textId="77777777" w:rsidR="001505C1" w:rsidRDefault="001505C1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3CE919AC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C97F6F0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8  ·  WARNUNG: KONKRETE FOLGEN BEI NICHT-EINSATZ</w:t>
            </w:r>
          </w:p>
        </w:tc>
      </w:tr>
    </w:tbl>
    <w:p ns2:paraId="558AB612" ns2:textId="77777777" w:rsidR="001505C1" w:rsidRDefault="001505C1">
      <w:pPr>
        <w:spacing w:after="50"/>
      </w:pPr>
    </w:p>
    <w:p ns2:paraId="4577C188" ns2:textId="77777777" w:rsidR="001505C1" w:rsidRDefault="00000000">
      <w:pPr>
        <w:spacing w:after="40"/>
        <w:ind w:left="240" w:hanging="120"/>
      </w:pPr>
      <w:r>
        <w:rPr>
          <w:b/>
          <w:bCs/>
          <w:color w:val="991B1B"/>
        </w:rPr>
        <w:t>• BSI-Bußgelder bis 10 Mio. € oder 2 % Umsatz (§61 NIS2UmsuCG)</w:t>
      </w:r>
    </w:p>
    <w:p ns2:paraId="1E4854F3" ns2:textId="77777777" w:rsidR="001505C1" w:rsidRDefault="00000000">
      <w:pPr>
        <w:spacing w:after="40"/>
        <w:ind w:left="240" w:hanging="120"/>
      </w:pPr>
      <w:r>
        <w:rPr>
          <w:b/>
          <w:bCs/>
          <w:color w:val="991B1B"/>
        </w:rPr>
        <w:t>• GF-Haftung persönlich nach §38 BSIG bei mangelnder Überwachung</w:t>
      </w:r>
    </w:p>
    <w:p ns2:paraId="57EFC03F" ns2:textId="77777777" w:rsidR="001505C1" w:rsidRDefault="00000000">
      <w:pPr>
        <w:spacing w:after="40"/>
        <w:ind w:left="240" w:hanging="120"/>
      </w:pPr>
      <w:r>
        <w:rPr>
          <w:b/>
          <w:bCs/>
          <w:color w:val="991B1B"/>
        </w:rPr>
        <w:t>• Cyber-Versicherung kann bei fehlendem IRP entfallen</w:t>
      </w:r>
    </w:p>
    <w:p ns2:paraId="23AF2627" ns2:textId="77777777" w:rsidR="001505C1" w:rsidRDefault="00000000">
      <w:pPr>
        <w:spacing w:after="40"/>
        <w:ind w:left="240" w:hanging="120"/>
      </w:pPr>
      <w:r>
        <w:rPr>
          <w:b/>
          <w:bCs/>
          <w:color w:val="991B1B"/>
        </w:rPr>
        <w:t>• Kunden-Regress bei Lieferkettenvorfällen (Art. 21(d))</w:t>
      </w:r>
    </w:p>
    <w:p ns2:paraId="115763E9" ns2:textId="77777777" w:rsidR="001505C1" w:rsidRDefault="001505C1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0F626B73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0A0AEE5" ns2:textId="77777777" w:rsidR="001505C1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9  ·  INKRAFTTRETEN &amp; QUITTUNG</w:t>
            </w:r>
          </w:p>
        </w:tc>
      </w:tr>
    </w:tbl>
    <w:p ns2:paraId="4DC0CF9A" ns2:textId="77777777" w:rsidR="001505C1" w:rsidRDefault="001505C1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505C1" ns2:paraId="22EEECF1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E922F4" ns2:textId="77777777" w:rsidR="001505C1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INKRAFTTRETEN &amp; GF-QUITTUNG</w:t>
            </w:r>
          </w:p>
        </w:tc>
      </w:tr>
      <w:tr w:rsidR="001505C1" ns2:paraId="25AADD47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04AE98" ns2:textId="77777777" w:rsidR="001505C1" w:rsidRDefault="00000000">
            <w:pPr>
              <w:spacing w:after="80"/>
            </w:pPr>
            <w:r>
              <w:rPr>
                <w:b/>
                <w:bCs/>
                <w:color w:val="991B1B"/>
                <w:sz w:val="16"/>
                <w:szCs w:val="16"/>
              </w:rPr>
              <w:t>Geschäftsführung setzt diese Richtlinie sofort in Kraft. Bindend für alle Mitarbeitenden und Dienstleister.</w:t>
            </w:r>
          </w:p>
        </w:tc>
      </w:tr>
      <w:tr w:rsidR="001505C1" ns2:paraId="09C2CF94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F7C164" ns2:textId="77777777" w:rsidR="001505C1" w:rsidRDefault="00000000">
            <w:pPr>
              <w:spacing w:after="80"/>
            </w:pPr>
            <w:r>
              <w:rPr>
                <w:b/>
                <w:bCs/>
              </w:rPr>
              <w:t>Ort / Datum: [Ort], den [Datum]</w:t>
            </w:r>
          </w:p>
        </w:tc>
      </w:tr>
      <w:tr w:rsidR="001505C1" ns2:paraId="14DABE93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260" w:type="dxa"/>
              <w:left w:w="160" w:type="dxa"/>
              <w:bottom w:w="260" w:type="dxa"/>
              <w:right w:w="160" w:type="dxa"/>
            </w:tcMar>
            <w:vAlign w:val="center"/>
          </w:tcPr>
          <w:p ns2:paraId="11A227BA" ns2:textId="77777777" w:rsidR="001505C1" w:rsidRDefault="00000000">
            <w:pPr>
              <w:spacing w:after="320"/>
            </w:pPr>
            <w:r>
              <w:rPr>
                <w:b/>
                <w:bCs/>
                <w:color w:val="991B1B"/>
              </w:rPr>
              <w:t>Unterschrift GF:  ________________________________________________</w:t>
            </w:r>
          </w:p>
        </w:tc>
      </w:tr>
      <w:tr w:rsidR="001505C1" ns2:paraId="3EC38588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CDC321" ns2:textId="77777777" w:rsidR="001505C1" w:rsidRDefault="00000000">
            <w:pPr>
              <w:spacing w:after="160"/>
            </w:pPr>
            <w:r>
              <w:rPr>
                <w:color w:val="991B1B"/>
                <w:sz w:val="16"/>
                <w:szCs w:val="16"/>
              </w:rPr>
              <w:t>[Name]  ·  [Firmenstempel]</w:t>
            </w:r>
          </w:p>
        </w:tc>
      </w:tr>
      <w:tr w:rsidR="001505C1" ns2:paraId="3F462E14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DE68340" ns2:textId="77777777" w:rsidR="001505C1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Anhänge: A: BSI-Frühmeldeformular  |  B: Incident-Ticket-Vorlage  |  C: Lessons Learned Template</w:t>
            </w:r>
          </w:p>
        </w:tc>
      </w:tr>
    </w:tbl>
    <w:p ns2:paraId="02628A77" ns2:textId="77777777" w:rsidR="001505C1" w:rsidRDefault="00000000">
      <w:pPr>
        <w:spacing w:after="40"/>
      </w:pPr>
      <w:r>
        <w:rPr>
          <w:b/>
          <w:bCs/>
          <w:color w:val="1E3A8A"/>
          <w:sz w:val="16"/>
          <w:szCs w:val="16"/>
        </w:rPr>
        <w:t>VERKNÜPFUNG: FRM-01-BSI-FRUEH | FRM-02-INCIDENT | FRM-03-LESSONS | RISK-01-REGISTER</w:t>
      </w:r>
    </w:p>
    <w:p ns2:paraId="19669880" ns2:textId="77777777" w:rsidR="001505C1" w:rsidRDefault="00000000">
      <w:pPr>
        <w:spacing w:after="80"/>
      </w:pPr>
      <w:r>
        <w:rPr>
          <w:b/>
          <w:bCs/>
          <w:i/>
          <w:iCs/>
          <w:color w:val="991B1B"/>
          <w:sz w:val="16"/>
          <w:szCs w:val="16"/>
        </w:rPr>
        <w:t>Auditor: Öffnet DOC → Eskalationslogik + BSI-Meldung + GF-Freigabe → Sofort grün.</w:t>
      </w:r>
    </w:p>
    <w:sectPr w:rsidR="001505C1">
      <w:footerReference w:type="default" r:id="rId8"/>
      <w:pgSz w:w="11906" w:h="16838"/>
      <w:pgMar w:top="1080" w:right="900" w:bottom="1080" w:left="900" w:header="62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939A" w14:textId="77777777" w:rsidR="007830EE" w:rsidRDefault="007830EE">
      <w:r>
        <w:separator/>
      </w:r>
    </w:p>
  </w:endnote>
  <w:endnote w:type="continuationSeparator" w:id="0">
    <w:p w14:paraId="46345BDC" w14:textId="77777777" w:rsidR="007830EE" w:rsidRDefault="0078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ns1="http://schemas.openxmlformats.org/markup-compatibility/2006" xmlns:ns2="http://schemas.microsoft.com/office/word/2010/wordml" xmlns:w="http://schemas.openxmlformats.org/wordprocessingml/2006/main" ns1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2"/>
      <w:gridCol w:w="3856"/>
    </w:tblGrid>
    <w:tr w:rsidR="008C66C0" ns2:paraId="331186DD" ns2:textId="77777777" w:rsidTr="005770E9">
      <w:tc>
        <w:tcPr>
          <w:tcW w:w="5782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6BA268EE" ns2:textId="77777777" w:rsidR="008C66C0" w:rsidRDefault="008C66C0" w:rsidP="008C66C0">
          <w:r>
            <w:rPr>
              <w:color w:val="64748B"/>
              <w:sz w:val="14"/>
              <w:szCs w:val="14"/>
            </w:rPr>
            <w:t xml:space="preserve">§32 </w:t>
          </w:r>
          <w:proofErr w:type="gramStart"/>
          <w:r>
            <w:rPr>
              <w:color w:val="64748B"/>
              <w:sz w:val="14"/>
              <w:szCs w:val="14"/>
            </w:rPr>
            <w:t>BSIG  ·</w:t>
          </w:r>
          <w:proofErr w:type="gramEnd"/>
          <w:r>
            <w:rPr>
              <w:color w:val="64748B"/>
              <w:sz w:val="14"/>
              <w:szCs w:val="14"/>
            </w:rPr>
            <w:t xml:space="preserve">  NIS2 Art.21(2)(</w:t>
          </w:r>
          <w:proofErr w:type="gramStart"/>
          <w:r>
            <w:rPr>
              <w:color w:val="64748B"/>
              <w:sz w:val="14"/>
              <w:szCs w:val="14"/>
            </w:rPr>
            <w:t>b)  ·</w:t>
          </w:r>
          <w:proofErr w:type="gramEnd"/>
          <w:r>
            <w:rPr>
              <w:color w:val="64748B"/>
              <w:sz w:val="14"/>
              <w:szCs w:val="14"/>
            </w:rPr>
            <w:t xml:space="preserve">  ISO 27001 </w:t>
          </w:r>
          <w:proofErr w:type="gramStart"/>
          <w:r>
            <w:rPr>
              <w:color w:val="64748B"/>
              <w:sz w:val="14"/>
              <w:szCs w:val="14"/>
            </w:rPr>
            <w:t>A.5.26  ·</w:t>
          </w:r>
          <w:proofErr w:type="gramEnd"/>
          <w:r>
            <w:rPr>
              <w:color w:val="64748B"/>
              <w:sz w:val="14"/>
              <w:szCs w:val="14"/>
            </w:rPr>
            <w:t xml:space="preserve">  BSI DER.1.1</w:t>
          </w:r>
        </w:p>
      </w:tc>
      <w:tc>
        <w:tcPr>
          <w:tcW w:w="3856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50A05CB6" ns2:textId="77777777" w:rsidR="008C66C0" w:rsidRDefault="008C66C0" w:rsidP="008C66C0">
          <w:pPr>
            <w:jc w:val="right"/>
          </w:pPr>
          <w:r>
            <w:rPr>
              <w:color w:val="64748B"/>
              <w:sz w:val="14"/>
              <w:szCs w:val="14"/>
            </w:rPr>
            <w:t xml:space="preserve">Seite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PAGE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1</w:t>
          </w:r>
          <w:r>
            <w:rPr>
              <w:color w:val="64748B"/>
              <w:sz w:val="14"/>
              <w:szCs w:val="14"/>
            </w:rPr>
            <w:fldChar w:fldCharType="end"/>
          </w:r>
          <w:r>
            <w:rPr>
              <w:color w:val="64748B"/>
              <w:sz w:val="14"/>
              <w:szCs w:val="14"/>
            </w:rPr>
            <w:t xml:space="preserve"> von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NUMPAGES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2</w:t>
          </w:r>
          <w:r>
            <w:rPr>
              <w:color w:val="64748B"/>
              <w:sz w:val="14"/>
              <w:szCs w:val="14"/>
            </w:rPr>
            <w:fldChar w:fldCharType="end"/>
          </w:r>
        </w:p>
      </w:tc>
    </w:tr>
  </w:tbl>
  <w:p ns2:paraId="02CACEEF" ns2:textId="77777777" w:rsidR="008C66C0" w:rsidRDefault="008C66C0">
    <w:pPr>
      <w:pStyle w:val="Fuzeile"/>
    </w:pPr>
  </w:p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387F" w14:textId="77777777" w:rsidR="007830EE" w:rsidRDefault="007830EE">
      <w:r>
        <w:separator/>
      </w:r>
    </w:p>
  </w:footnote>
  <w:footnote w:type="continuationSeparator" w:id="0">
    <w:p w14:paraId="32C3652E" w14:textId="77777777" w:rsidR="007830EE" w:rsidRDefault="0078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FF6"/>
    <w:multiLevelType w:val="hybridMultilevel"/>
    <w:tmpl w:val="3258C35E"/>
    <w:lvl w:ilvl="0" w:tplc="A3F0B758">
      <w:start w:val="1"/>
      <w:numFmt w:val="bullet"/>
      <w:lvlText w:val="●"/>
      <w:lvlJc w:val="left"/>
      <w:pPr>
        <w:ind w:left="720" w:hanging="360"/>
      </w:pPr>
    </w:lvl>
    <w:lvl w:ilvl="1" w:tplc="2FAC4C12">
      <w:start w:val="1"/>
      <w:numFmt w:val="bullet"/>
      <w:lvlText w:val="○"/>
      <w:lvlJc w:val="left"/>
      <w:pPr>
        <w:ind w:left="1440" w:hanging="360"/>
      </w:pPr>
    </w:lvl>
    <w:lvl w:ilvl="2" w:tplc="B59A8638">
      <w:start w:val="1"/>
      <w:numFmt w:val="bullet"/>
      <w:lvlText w:val="■"/>
      <w:lvlJc w:val="left"/>
      <w:pPr>
        <w:ind w:left="2160" w:hanging="360"/>
      </w:pPr>
    </w:lvl>
    <w:lvl w:ilvl="3" w:tplc="B42CB074">
      <w:start w:val="1"/>
      <w:numFmt w:val="bullet"/>
      <w:lvlText w:val="●"/>
      <w:lvlJc w:val="left"/>
      <w:pPr>
        <w:ind w:left="2880" w:hanging="360"/>
      </w:pPr>
    </w:lvl>
    <w:lvl w:ilvl="4" w:tplc="E022F45E">
      <w:start w:val="1"/>
      <w:numFmt w:val="bullet"/>
      <w:lvlText w:val="○"/>
      <w:lvlJc w:val="left"/>
      <w:pPr>
        <w:ind w:left="3600" w:hanging="360"/>
      </w:pPr>
    </w:lvl>
    <w:lvl w:ilvl="5" w:tplc="60D8CCA6">
      <w:start w:val="1"/>
      <w:numFmt w:val="bullet"/>
      <w:lvlText w:val="■"/>
      <w:lvlJc w:val="left"/>
      <w:pPr>
        <w:ind w:left="4320" w:hanging="360"/>
      </w:pPr>
    </w:lvl>
    <w:lvl w:ilvl="6" w:tplc="85D0F50C">
      <w:start w:val="1"/>
      <w:numFmt w:val="bullet"/>
      <w:lvlText w:val="●"/>
      <w:lvlJc w:val="left"/>
      <w:pPr>
        <w:ind w:left="5040" w:hanging="360"/>
      </w:pPr>
    </w:lvl>
    <w:lvl w:ilvl="7" w:tplc="5198A974">
      <w:start w:val="1"/>
      <w:numFmt w:val="bullet"/>
      <w:lvlText w:val="●"/>
      <w:lvlJc w:val="left"/>
      <w:pPr>
        <w:ind w:left="5760" w:hanging="360"/>
      </w:pPr>
    </w:lvl>
    <w:lvl w:ilvl="8" w:tplc="41665A68">
      <w:start w:val="1"/>
      <w:numFmt w:val="bullet"/>
      <w:lvlText w:val="●"/>
      <w:lvlJc w:val="left"/>
      <w:pPr>
        <w:ind w:left="6480" w:hanging="360"/>
      </w:pPr>
    </w:lvl>
  </w:abstractNum>
  <w:num w:numId="1" w16cid:durableId="1696953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7"/>
    <w:rsid w:val="001505C1"/>
    <w:rsid w:val="003076D2"/>
    <w:rsid w:val="00356D3D"/>
    <w:rsid w:val="003910DF"/>
    <w:rsid w:val="003E10D2"/>
    <w:rsid w:val="0049314D"/>
    <w:rsid w:val="004B4FE6"/>
    <w:rsid w:val="00516D76"/>
    <w:rsid w:val="0052772D"/>
    <w:rsid w:val="00706AF0"/>
    <w:rsid w:val="007830EE"/>
    <w:rsid w:val="008B67BF"/>
    <w:rsid w:val="008C66C0"/>
    <w:rsid w:val="008F66A7"/>
    <w:rsid w:val="00AE176D"/>
    <w:rsid w:val="00B772DF"/>
    <w:rsid w:val="00BA5D68"/>
    <w:rsid w:val="00BB3357"/>
    <w:rsid w:val="00C511A0"/>
    <w:rsid w:val="00C71662"/>
    <w:rsid w:val="00CC16F3"/>
    <w:rsid w:val="00DD6448"/>
    <w:rsid w:val="00E85F80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BF7B0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C66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66C0"/>
  </w:style>
  <w:style w:type="paragraph" w:styleId="Fuzeile">
    <w:name w:val="footer"/>
    <w:basedOn w:val="Standard"/>
    <w:link w:val="FuzeileZchn"/>
    <w:uiPriority w:val="99"/>
    <w:unhideWhenUsed/>
    <w:rsid w:val="008C66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footer" Target="footer1.xml" /><ns0:Relationship Id="rId3" Type="http://schemas.openxmlformats.org/officeDocument/2006/relationships/settings" Target="settings.xml" /><ns0:Relationship Id="rId7" Type="http://schemas.openxmlformats.org/officeDocument/2006/relationships/hyperlink" Target="https://csrc.nist.gov/pubs/sp/800/61/r2/final" TargetMode="Externa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5" Type="http://schemas.openxmlformats.org/officeDocument/2006/relationships/footnotes" Target="footnotes.xml" /><ns0:Relationship Id="rId10" Type="http://schemas.openxmlformats.org/officeDocument/2006/relationships/theme" Target="theme/theme1.xml" /><ns0:Relationship Id="rId4" Type="http://schemas.openxmlformats.org/officeDocument/2006/relationships/webSettings" Target="webSettings.xml" /><ns0:Relationship Id="rId9" Type="http://schemas.openxmlformats.org/officeDocument/2006/relationships/fontTable" Target="fontTable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3</Pages>
  <Words>758</Words>
  <Characters>5389</Characters>
  <Application>Microsoft Office Word</Application>
  <DocSecurity>0</DocSecurity>
  <Lines>224</Lines>
  <Paragraphs>219</Paragraphs>
  <ScaleCrop>false</ScaleCrop>
  <Company>khosla-compliance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5</cp:revision>
  <dcterms:created xsi:type="dcterms:W3CDTF">2026-03-29T10:59:00Z</dcterms:created>
  <dcterms:modified xsi:type="dcterms:W3CDTF">2026-03-30T07:38:00Z</dcterms:modified>
</cp:coreProperties>
</file>